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3B90DB" w14:textId="77777777" w:rsidR="008904A3" w:rsidRDefault="008904A3" w:rsidP="008904A3">
      <w:pPr>
        <w:jc w:val="center"/>
        <w:rPr>
          <w:b/>
          <w:bCs/>
          <w:u w:val="single"/>
        </w:rPr>
      </w:pPr>
      <w:r w:rsidRPr="008904A3">
        <w:rPr>
          <w:b/>
          <w:bCs/>
          <w:u w:val="single"/>
        </w:rPr>
        <w:t xml:space="preserve">Connecticut Green Bank </w:t>
      </w:r>
    </w:p>
    <w:p w14:paraId="4BCA9D82" w14:textId="2E1E4CD9" w:rsidR="008904A3" w:rsidRDefault="008904A3" w:rsidP="008904A3">
      <w:pPr>
        <w:jc w:val="center"/>
        <w:rPr>
          <w:b/>
          <w:bCs/>
          <w:u w:val="single"/>
        </w:rPr>
      </w:pPr>
      <w:proofErr w:type="spellStart"/>
      <w:r w:rsidRPr="008904A3">
        <w:rPr>
          <w:b/>
          <w:bCs/>
          <w:u w:val="single"/>
        </w:rPr>
        <w:t>Solar</w:t>
      </w:r>
      <w:r>
        <w:rPr>
          <w:b/>
          <w:bCs/>
          <w:u w:val="single"/>
        </w:rPr>
        <w:t>MAP</w:t>
      </w:r>
      <w:proofErr w:type="spellEnd"/>
      <w:r>
        <w:rPr>
          <w:b/>
          <w:bCs/>
          <w:u w:val="single"/>
        </w:rPr>
        <w:t xml:space="preserve"> on Connecticut Municipalities RFP</w:t>
      </w:r>
    </w:p>
    <w:p w14:paraId="550422C9" w14:textId="369928A8" w:rsidR="0052668C" w:rsidRDefault="008904A3" w:rsidP="008904A3">
      <w:pPr>
        <w:jc w:val="center"/>
        <w:rPr>
          <w:b/>
          <w:bCs/>
          <w:u w:val="single"/>
        </w:rPr>
      </w:pPr>
      <w:r>
        <w:rPr>
          <w:b/>
          <w:bCs/>
          <w:u w:val="single"/>
        </w:rPr>
        <w:t>Questions and Answers</w:t>
      </w:r>
    </w:p>
    <w:p w14:paraId="0086C007" w14:textId="36DFA056" w:rsidR="008904A3" w:rsidRPr="008904A3" w:rsidRDefault="008904A3" w:rsidP="008904A3">
      <w:pPr>
        <w:rPr>
          <w:b/>
          <w:bCs/>
          <w:sz w:val="18"/>
          <w:szCs w:val="18"/>
        </w:rPr>
      </w:pPr>
      <w:r w:rsidRPr="008904A3">
        <w:rPr>
          <w:b/>
          <w:bCs/>
          <w:sz w:val="18"/>
          <w:szCs w:val="18"/>
        </w:rPr>
        <w:t>Updated 10/28/2020</w:t>
      </w:r>
    </w:p>
    <w:p w14:paraId="23BAD7F7" w14:textId="77777777" w:rsidR="00393C85" w:rsidRPr="008904A3" w:rsidRDefault="00393C85" w:rsidP="008904A3">
      <w:pPr>
        <w:rPr>
          <w:b/>
          <w:bCs/>
        </w:rPr>
      </w:pPr>
    </w:p>
    <w:p w14:paraId="572C1C14" w14:textId="2CB98DD3" w:rsidR="008904A3" w:rsidRDefault="008904A3" w:rsidP="008904A3">
      <w:pPr>
        <w:pStyle w:val="ListParagraph"/>
        <w:numPr>
          <w:ilvl w:val="0"/>
          <w:numId w:val="1"/>
        </w:numPr>
        <w:ind w:left="360"/>
        <w:rPr>
          <w:b/>
          <w:bCs/>
        </w:rPr>
      </w:pPr>
      <w:r w:rsidRPr="008904A3">
        <w:rPr>
          <w:b/>
          <w:bCs/>
        </w:rPr>
        <w:t>Can developers submit proposals that include project finance?</w:t>
      </w:r>
    </w:p>
    <w:p w14:paraId="6582947E" w14:textId="0C9A9240" w:rsidR="008904A3" w:rsidRDefault="008904A3" w:rsidP="008904A3">
      <w:pPr>
        <w:pStyle w:val="ListParagraph"/>
        <w:ind w:left="360"/>
        <w:rPr>
          <w:rFonts w:ascii="Arial" w:hAnsi="Arial" w:cs="Arial"/>
          <w:sz w:val="20"/>
          <w:szCs w:val="20"/>
        </w:rPr>
      </w:pPr>
      <w:r>
        <w:rPr>
          <w:rFonts w:ascii="Arial" w:hAnsi="Arial" w:cs="Arial"/>
          <w:sz w:val="20"/>
          <w:szCs w:val="20"/>
        </w:rPr>
        <w:t xml:space="preserve">The RFP is to source </w:t>
      </w:r>
      <w:r w:rsidR="00CB3E5C">
        <w:rPr>
          <w:rFonts w:ascii="Arial" w:hAnsi="Arial" w:cs="Arial"/>
          <w:sz w:val="20"/>
          <w:szCs w:val="20"/>
        </w:rPr>
        <w:t xml:space="preserve">only </w:t>
      </w:r>
      <w:r>
        <w:rPr>
          <w:rFonts w:ascii="Arial" w:hAnsi="Arial" w:cs="Arial"/>
          <w:sz w:val="20"/>
          <w:szCs w:val="20"/>
        </w:rPr>
        <w:t>EPC proposals. Financing will be provided by Inclusive Prosperity Capital.</w:t>
      </w:r>
    </w:p>
    <w:p w14:paraId="28014D49" w14:textId="77777777" w:rsidR="008904A3" w:rsidRPr="008904A3" w:rsidRDefault="008904A3" w:rsidP="008904A3">
      <w:pPr>
        <w:pStyle w:val="ListParagraph"/>
        <w:ind w:left="360"/>
        <w:rPr>
          <w:b/>
          <w:bCs/>
        </w:rPr>
      </w:pPr>
    </w:p>
    <w:p w14:paraId="523E0A6C" w14:textId="54FE9FB1" w:rsidR="008904A3" w:rsidRDefault="008904A3" w:rsidP="008904A3">
      <w:pPr>
        <w:pStyle w:val="ListParagraph"/>
        <w:numPr>
          <w:ilvl w:val="0"/>
          <w:numId w:val="1"/>
        </w:numPr>
        <w:ind w:left="360"/>
        <w:rPr>
          <w:b/>
          <w:bCs/>
        </w:rPr>
      </w:pPr>
      <w:r w:rsidRPr="008904A3">
        <w:rPr>
          <w:b/>
          <w:bCs/>
        </w:rPr>
        <w:t>Is Prevailing Wage required?</w:t>
      </w:r>
    </w:p>
    <w:p w14:paraId="47412FA7" w14:textId="75E6CD72" w:rsidR="008904A3" w:rsidRDefault="008904A3" w:rsidP="008904A3">
      <w:pPr>
        <w:pStyle w:val="ListParagraph"/>
        <w:ind w:left="360"/>
      </w:pPr>
      <w:r>
        <w:t>No</w:t>
      </w:r>
    </w:p>
    <w:p w14:paraId="32648673" w14:textId="77777777" w:rsidR="008904A3" w:rsidRPr="008904A3" w:rsidRDefault="008904A3" w:rsidP="008904A3">
      <w:pPr>
        <w:pStyle w:val="ListParagraph"/>
        <w:ind w:left="360"/>
      </w:pPr>
    </w:p>
    <w:p w14:paraId="3122C54D" w14:textId="5586C351" w:rsidR="008904A3" w:rsidRDefault="008904A3" w:rsidP="008904A3">
      <w:pPr>
        <w:pStyle w:val="ListParagraph"/>
        <w:numPr>
          <w:ilvl w:val="0"/>
          <w:numId w:val="1"/>
        </w:numPr>
        <w:ind w:left="360"/>
        <w:rPr>
          <w:b/>
          <w:bCs/>
        </w:rPr>
      </w:pPr>
      <w:r w:rsidRPr="008904A3">
        <w:rPr>
          <w:b/>
          <w:bCs/>
        </w:rPr>
        <w:t>Is Union Labor required?</w:t>
      </w:r>
    </w:p>
    <w:p w14:paraId="2DFFD697" w14:textId="244B3737" w:rsidR="008904A3" w:rsidRDefault="008904A3" w:rsidP="008904A3">
      <w:pPr>
        <w:pStyle w:val="ListParagraph"/>
        <w:ind w:left="360"/>
      </w:pPr>
      <w:r>
        <w:t>No</w:t>
      </w:r>
    </w:p>
    <w:p w14:paraId="74920AA6" w14:textId="77777777" w:rsidR="008904A3" w:rsidRPr="008904A3" w:rsidRDefault="008904A3" w:rsidP="008904A3">
      <w:pPr>
        <w:pStyle w:val="ListParagraph"/>
        <w:ind w:left="360"/>
      </w:pPr>
    </w:p>
    <w:p w14:paraId="1DF7DC50" w14:textId="21AF820F" w:rsidR="008904A3" w:rsidRDefault="008904A3" w:rsidP="008904A3">
      <w:pPr>
        <w:pStyle w:val="ListParagraph"/>
        <w:numPr>
          <w:ilvl w:val="0"/>
          <w:numId w:val="1"/>
        </w:numPr>
        <w:ind w:left="360"/>
        <w:rPr>
          <w:b/>
          <w:bCs/>
        </w:rPr>
      </w:pPr>
      <w:r w:rsidRPr="008904A3">
        <w:rPr>
          <w:b/>
          <w:bCs/>
        </w:rPr>
        <w:t>Is there a Minority Business Enterprise (MBE) set-aside?</w:t>
      </w:r>
    </w:p>
    <w:p w14:paraId="651D47BF" w14:textId="5AE76CD1" w:rsidR="008904A3" w:rsidRDefault="008904A3" w:rsidP="008904A3">
      <w:pPr>
        <w:pStyle w:val="ListParagraph"/>
        <w:ind w:left="360"/>
      </w:pPr>
      <w:r>
        <w:t>No</w:t>
      </w:r>
    </w:p>
    <w:p w14:paraId="7B468549" w14:textId="77777777" w:rsidR="008904A3" w:rsidRPr="008904A3" w:rsidRDefault="008904A3" w:rsidP="008904A3">
      <w:pPr>
        <w:pStyle w:val="ListParagraph"/>
        <w:ind w:left="360"/>
      </w:pPr>
    </w:p>
    <w:p w14:paraId="48CBAB86" w14:textId="5B7428EB" w:rsidR="008904A3" w:rsidRDefault="008904A3" w:rsidP="008904A3">
      <w:pPr>
        <w:pStyle w:val="ListParagraph"/>
        <w:numPr>
          <w:ilvl w:val="0"/>
          <w:numId w:val="1"/>
        </w:numPr>
        <w:ind w:left="360"/>
        <w:rPr>
          <w:b/>
          <w:bCs/>
        </w:rPr>
      </w:pPr>
      <w:r w:rsidRPr="008904A3">
        <w:rPr>
          <w:b/>
          <w:bCs/>
        </w:rPr>
        <w:t>Please clarify if the contractor can negotiate the terms of the EPC Contract</w:t>
      </w:r>
    </w:p>
    <w:p w14:paraId="1252B2B0" w14:textId="7AC29903" w:rsidR="008904A3" w:rsidRDefault="008904A3" w:rsidP="008904A3">
      <w:pPr>
        <w:pStyle w:val="ListParagraph"/>
        <w:ind w:left="360"/>
        <w:rPr>
          <w:rFonts w:ascii="Arial" w:hAnsi="Arial" w:cs="Arial"/>
          <w:sz w:val="20"/>
          <w:szCs w:val="20"/>
        </w:rPr>
      </w:pPr>
      <w:r>
        <w:rPr>
          <w:rFonts w:ascii="Arial" w:hAnsi="Arial" w:cs="Arial"/>
          <w:sz w:val="20"/>
          <w:szCs w:val="20"/>
        </w:rPr>
        <w:t>Any requested changes to the RFP must be submitted with your proposal. Any material changes requested will be evaluated as part of the submission scoring.</w:t>
      </w:r>
    </w:p>
    <w:p w14:paraId="1674F736" w14:textId="77777777" w:rsidR="008904A3" w:rsidRPr="008904A3" w:rsidRDefault="008904A3" w:rsidP="008904A3">
      <w:pPr>
        <w:pStyle w:val="ListParagraph"/>
        <w:ind w:left="360"/>
      </w:pPr>
    </w:p>
    <w:p w14:paraId="488011F0" w14:textId="203C947B" w:rsidR="008904A3" w:rsidRDefault="008904A3" w:rsidP="008904A3">
      <w:pPr>
        <w:pStyle w:val="ListParagraph"/>
        <w:numPr>
          <w:ilvl w:val="0"/>
          <w:numId w:val="1"/>
        </w:numPr>
        <w:ind w:left="360"/>
        <w:rPr>
          <w:b/>
          <w:bCs/>
        </w:rPr>
      </w:pPr>
      <w:r w:rsidRPr="008904A3">
        <w:rPr>
          <w:b/>
          <w:bCs/>
        </w:rPr>
        <w:t>How will the safe harboring of solar panels be handled?</w:t>
      </w:r>
    </w:p>
    <w:p w14:paraId="4F18FF8F" w14:textId="39631F73" w:rsidR="008904A3" w:rsidRDefault="008904A3" w:rsidP="008904A3">
      <w:pPr>
        <w:pStyle w:val="ListParagraph"/>
        <w:ind w:left="360"/>
        <w:rPr>
          <w:rFonts w:ascii="Arial" w:hAnsi="Arial" w:cs="Arial"/>
          <w:sz w:val="20"/>
          <w:szCs w:val="20"/>
        </w:rPr>
      </w:pPr>
      <w:r>
        <w:rPr>
          <w:rFonts w:ascii="Arial" w:hAnsi="Arial" w:cs="Arial"/>
          <w:sz w:val="20"/>
          <w:szCs w:val="20"/>
        </w:rPr>
        <w:t>CGB will work with the awarded Proposer(s) to safe harbor the projects for the 2020 ITC through 5% safe harbor provision. The Proposer should note if they already have safe harbored panels or any other relevant information or experience for safe harboring these project</w:t>
      </w:r>
      <w:r>
        <w:rPr>
          <w:rFonts w:ascii="Arial" w:hAnsi="Arial" w:cs="Arial"/>
          <w:sz w:val="20"/>
          <w:szCs w:val="20"/>
        </w:rPr>
        <w:t>s</w:t>
      </w:r>
      <w:r>
        <w:rPr>
          <w:rFonts w:ascii="Arial" w:hAnsi="Arial" w:cs="Arial"/>
          <w:sz w:val="20"/>
          <w:szCs w:val="20"/>
        </w:rPr>
        <w:t>.</w:t>
      </w:r>
    </w:p>
    <w:p w14:paraId="10B2E0B4" w14:textId="77777777" w:rsidR="008904A3" w:rsidRPr="008904A3" w:rsidRDefault="008904A3" w:rsidP="008904A3">
      <w:pPr>
        <w:pStyle w:val="ListParagraph"/>
        <w:ind w:left="360"/>
        <w:rPr>
          <w:b/>
          <w:bCs/>
        </w:rPr>
      </w:pPr>
    </w:p>
    <w:p w14:paraId="743D115B" w14:textId="1253E428" w:rsidR="008904A3" w:rsidRDefault="008904A3" w:rsidP="008904A3">
      <w:pPr>
        <w:pStyle w:val="ListParagraph"/>
        <w:numPr>
          <w:ilvl w:val="0"/>
          <w:numId w:val="1"/>
        </w:numPr>
        <w:ind w:left="360"/>
        <w:rPr>
          <w:b/>
          <w:bCs/>
        </w:rPr>
      </w:pPr>
      <w:r w:rsidRPr="008904A3">
        <w:rPr>
          <w:b/>
          <w:bCs/>
        </w:rPr>
        <w:t>If we show the ability to safe harbor, will that change our economics or the municipalities' economics?</w:t>
      </w:r>
    </w:p>
    <w:p w14:paraId="37649871" w14:textId="47B5CB53" w:rsidR="00CB3E5C" w:rsidRDefault="00CB3E5C" w:rsidP="00CB3E5C">
      <w:pPr>
        <w:pStyle w:val="ListParagraph"/>
        <w:ind w:left="360"/>
        <w:rPr>
          <w:rFonts w:ascii="Arial" w:hAnsi="Arial" w:cs="Arial"/>
          <w:sz w:val="20"/>
          <w:szCs w:val="20"/>
        </w:rPr>
      </w:pPr>
      <w:r>
        <w:rPr>
          <w:rFonts w:ascii="Arial" w:hAnsi="Arial" w:cs="Arial"/>
          <w:sz w:val="20"/>
          <w:szCs w:val="20"/>
        </w:rPr>
        <w:t>CGB is assuming 2020 ITC with regards to the PPA rates for the towns. CGB will work with the selected proposers to safe harbor the projects for the 2020 ITC through 5% safe harbor provision. The proposer should note if they already have safe harbored panels or any other relevant information or experience for safe harboring these project</w:t>
      </w:r>
      <w:r>
        <w:rPr>
          <w:rFonts w:ascii="Arial" w:hAnsi="Arial" w:cs="Arial"/>
          <w:sz w:val="20"/>
          <w:szCs w:val="20"/>
        </w:rPr>
        <w:t>s</w:t>
      </w:r>
      <w:r>
        <w:rPr>
          <w:rFonts w:ascii="Arial" w:hAnsi="Arial" w:cs="Arial"/>
          <w:sz w:val="20"/>
          <w:szCs w:val="20"/>
        </w:rPr>
        <w:t>.</w:t>
      </w:r>
    </w:p>
    <w:p w14:paraId="64E1DBB0" w14:textId="77777777" w:rsidR="00CB3E5C" w:rsidRPr="008904A3" w:rsidRDefault="00CB3E5C" w:rsidP="00CB3E5C">
      <w:pPr>
        <w:pStyle w:val="ListParagraph"/>
        <w:ind w:left="360"/>
        <w:rPr>
          <w:b/>
          <w:bCs/>
        </w:rPr>
      </w:pPr>
    </w:p>
    <w:p w14:paraId="65CFC2D9" w14:textId="24460792" w:rsidR="008904A3" w:rsidRDefault="008904A3" w:rsidP="008904A3">
      <w:pPr>
        <w:pStyle w:val="ListParagraph"/>
        <w:numPr>
          <w:ilvl w:val="0"/>
          <w:numId w:val="1"/>
        </w:numPr>
        <w:ind w:left="360"/>
        <w:rPr>
          <w:b/>
          <w:bCs/>
        </w:rPr>
      </w:pPr>
      <w:r w:rsidRPr="008904A3">
        <w:rPr>
          <w:b/>
          <w:bCs/>
        </w:rPr>
        <w:t>Will there be a separate financing RFP and if so, why was that option not included in this RFP?</w:t>
      </w:r>
    </w:p>
    <w:p w14:paraId="2D9D2C67" w14:textId="39C1C087" w:rsidR="00CB3E5C" w:rsidRDefault="00CB3E5C" w:rsidP="00CB3E5C">
      <w:pPr>
        <w:pStyle w:val="ListParagraph"/>
        <w:ind w:left="360"/>
        <w:rPr>
          <w:rFonts w:ascii="Arial" w:hAnsi="Arial" w:cs="Arial"/>
          <w:sz w:val="20"/>
          <w:szCs w:val="20"/>
        </w:rPr>
      </w:pPr>
      <w:r>
        <w:rPr>
          <w:rFonts w:ascii="Arial" w:hAnsi="Arial" w:cs="Arial"/>
          <w:sz w:val="20"/>
          <w:szCs w:val="20"/>
        </w:rPr>
        <w:t>These projects will be financed by Inclusive Prosperity Capital.</w:t>
      </w:r>
    </w:p>
    <w:p w14:paraId="5903CF43" w14:textId="77777777" w:rsidR="00CB3E5C" w:rsidRPr="008904A3" w:rsidRDefault="00CB3E5C" w:rsidP="00CB3E5C">
      <w:pPr>
        <w:pStyle w:val="ListParagraph"/>
        <w:ind w:left="360"/>
        <w:rPr>
          <w:b/>
          <w:bCs/>
        </w:rPr>
      </w:pPr>
    </w:p>
    <w:p w14:paraId="6E72E329" w14:textId="02331D7A" w:rsidR="008904A3" w:rsidRDefault="008904A3" w:rsidP="008904A3">
      <w:pPr>
        <w:pStyle w:val="ListParagraph"/>
        <w:numPr>
          <w:ilvl w:val="0"/>
          <w:numId w:val="1"/>
        </w:numPr>
        <w:ind w:left="360"/>
        <w:rPr>
          <w:b/>
          <w:bCs/>
        </w:rPr>
      </w:pPr>
      <w:r w:rsidRPr="008904A3">
        <w:rPr>
          <w:b/>
          <w:bCs/>
        </w:rPr>
        <w:t>Will RFP awards be made by municipality or as an entire portfolio?</w:t>
      </w:r>
    </w:p>
    <w:p w14:paraId="7DFE8684" w14:textId="54A03C7D" w:rsidR="00CB3E5C" w:rsidRDefault="00CB3E5C" w:rsidP="00CB3E5C">
      <w:pPr>
        <w:pStyle w:val="ListParagraph"/>
        <w:ind w:left="360"/>
        <w:rPr>
          <w:rFonts w:ascii="Arial" w:hAnsi="Arial" w:cs="Arial"/>
          <w:sz w:val="20"/>
          <w:szCs w:val="20"/>
        </w:rPr>
      </w:pPr>
      <w:r>
        <w:rPr>
          <w:rFonts w:ascii="Arial" w:hAnsi="Arial" w:cs="Arial"/>
          <w:sz w:val="20"/>
          <w:szCs w:val="20"/>
        </w:rPr>
        <w:t>Selection will be made in a way as to deliver the lowest PPA rate to a municipality from an experienced EPC provider.</w:t>
      </w:r>
    </w:p>
    <w:p w14:paraId="223D6D3D" w14:textId="77777777" w:rsidR="00CB3E5C" w:rsidRPr="008904A3" w:rsidRDefault="00CB3E5C" w:rsidP="00CB3E5C">
      <w:pPr>
        <w:pStyle w:val="ListParagraph"/>
        <w:ind w:left="360"/>
        <w:rPr>
          <w:b/>
          <w:bCs/>
        </w:rPr>
      </w:pPr>
    </w:p>
    <w:p w14:paraId="48817E0D" w14:textId="2994913B" w:rsidR="008904A3" w:rsidRDefault="008904A3" w:rsidP="008904A3">
      <w:pPr>
        <w:pStyle w:val="ListParagraph"/>
        <w:numPr>
          <w:ilvl w:val="0"/>
          <w:numId w:val="1"/>
        </w:numPr>
        <w:ind w:left="360"/>
        <w:rPr>
          <w:b/>
          <w:bCs/>
        </w:rPr>
      </w:pPr>
      <w:r w:rsidRPr="008904A3">
        <w:rPr>
          <w:b/>
          <w:bCs/>
        </w:rPr>
        <w:t>Can we bid on only one municipality?</w:t>
      </w:r>
    </w:p>
    <w:p w14:paraId="439456A1" w14:textId="0A028D55" w:rsidR="00CB3E5C" w:rsidRDefault="00CB3E5C" w:rsidP="00CB3E5C">
      <w:pPr>
        <w:pStyle w:val="ListParagraph"/>
        <w:ind w:left="360"/>
      </w:pPr>
      <w:r>
        <w:t>Yes</w:t>
      </w:r>
    </w:p>
    <w:p w14:paraId="1EF49CFE" w14:textId="77777777" w:rsidR="00CB3E5C" w:rsidRPr="00CB3E5C" w:rsidRDefault="00CB3E5C" w:rsidP="00CB3E5C">
      <w:pPr>
        <w:pStyle w:val="ListParagraph"/>
        <w:ind w:left="360"/>
      </w:pPr>
    </w:p>
    <w:p w14:paraId="2ACD90C4" w14:textId="29378F12" w:rsidR="008904A3" w:rsidRDefault="008904A3" w:rsidP="008904A3">
      <w:pPr>
        <w:pStyle w:val="ListParagraph"/>
        <w:numPr>
          <w:ilvl w:val="0"/>
          <w:numId w:val="1"/>
        </w:numPr>
        <w:ind w:left="360"/>
        <w:rPr>
          <w:b/>
          <w:bCs/>
        </w:rPr>
      </w:pPr>
      <w:r w:rsidRPr="008904A3">
        <w:rPr>
          <w:b/>
          <w:bCs/>
        </w:rPr>
        <w:t>Do installations need to occur over the summer break for the school sites?</w:t>
      </w:r>
    </w:p>
    <w:p w14:paraId="5378745D" w14:textId="47B614A8" w:rsidR="00CB3E5C" w:rsidRDefault="00CB3E5C" w:rsidP="00CB3E5C">
      <w:pPr>
        <w:pStyle w:val="ListParagraph"/>
        <w:ind w:left="360"/>
        <w:rPr>
          <w:rFonts w:ascii="Arial" w:hAnsi="Arial" w:cs="Arial"/>
          <w:sz w:val="20"/>
          <w:szCs w:val="20"/>
        </w:rPr>
      </w:pPr>
      <w:r>
        <w:rPr>
          <w:rFonts w:ascii="Arial" w:hAnsi="Arial" w:cs="Arial"/>
          <w:sz w:val="20"/>
          <w:szCs w:val="20"/>
        </w:rPr>
        <w:lastRenderedPageBreak/>
        <w:t>Construction does not have to be limited to the summer. For small ZREC projects (projects under 100kWac); preference will be given for schedules that can complete installation by 7/1/21.</w:t>
      </w:r>
    </w:p>
    <w:p w14:paraId="2F433B10" w14:textId="77777777" w:rsidR="00CB3E5C" w:rsidRPr="008904A3" w:rsidRDefault="00CB3E5C" w:rsidP="00CB3E5C">
      <w:pPr>
        <w:pStyle w:val="ListParagraph"/>
        <w:ind w:left="360"/>
        <w:rPr>
          <w:b/>
          <w:bCs/>
        </w:rPr>
      </w:pPr>
    </w:p>
    <w:p w14:paraId="2B377317" w14:textId="413D99F9" w:rsidR="008904A3" w:rsidRDefault="008904A3" w:rsidP="008904A3">
      <w:pPr>
        <w:pStyle w:val="ListParagraph"/>
        <w:numPr>
          <w:ilvl w:val="0"/>
          <w:numId w:val="1"/>
        </w:numPr>
        <w:ind w:left="360"/>
        <w:rPr>
          <w:b/>
          <w:bCs/>
        </w:rPr>
      </w:pPr>
      <w:r w:rsidRPr="008904A3">
        <w:rPr>
          <w:b/>
          <w:bCs/>
        </w:rPr>
        <w:t>Please identify which sites already have ZREC contracts in place</w:t>
      </w:r>
    </w:p>
    <w:p w14:paraId="7348B208" w14:textId="1A0E2098" w:rsidR="00CB3E5C" w:rsidRDefault="00CB3E5C" w:rsidP="00CB3E5C">
      <w:pPr>
        <w:pStyle w:val="ListParagraph"/>
        <w:ind w:left="360"/>
        <w:rPr>
          <w:rFonts w:ascii="Arial" w:hAnsi="Arial" w:cs="Arial"/>
          <w:sz w:val="20"/>
          <w:szCs w:val="20"/>
        </w:rPr>
      </w:pPr>
      <w:r>
        <w:rPr>
          <w:rFonts w:ascii="Arial" w:hAnsi="Arial" w:cs="Arial"/>
          <w:sz w:val="20"/>
          <w:szCs w:val="20"/>
        </w:rPr>
        <w:t>The Proposer should assume all ZREC submissions have been made for each project listed included in this RFP.</w:t>
      </w:r>
    </w:p>
    <w:p w14:paraId="2B051A8C" w14:textId="77777777" w:rsidR="00CB3E5C" w:rsidRPr="008904A3" w:rsidRDefault="00CB3E5C" w:rsidP="00CB3E5C">
      <w:pPr>
        <w:pStyle w:val="ListParagraph"/>
        <w:ind w:left="360"/>
        <w:rPr>
          <w:b/>
          <w:bCs/>
        </w:rPr>
      </w:pPr>
    </w:p>
    <w:p w14:paraId="09470290" w14:textId="7DD83097" w:rsidR="008904A3" w:rsidRDefault="008904A3" w:rsidP="008904A3">
      <w:pPr>
        <w:pStyle w:val="ListParagraph"/>
        <w:numPr>
          <w:ilvl w:val="0"/>
          <w:numId w:val="1"/>
        </w:numPr>
        <w:ind w:left="360"/>
        <w:rPr>
          <w:b/>
          <w:bCs/>
        </w:rPr>
      </w:pPr>
      <w:r w:rsidRPr="008904A3">
        <w:rPr>
          <w:b/>
          <w:bCs/>
        </w:rPr>
        <w:t>Site 123R, Mansfield Town Garage - Can you identify which building the point of interconnection tie-in would be?</w:t>
      </w:r>
    </w:p>
    <w:p w14:paraId="69CD18D9" w14:textId="12BCE6C6" w:rsidR="00CB3E5C" w:rsidRDefault="00CB3E5C" w:rsidP="00CB3E5C">
      <w:pPr>
        <w:pStyle w:val="ListParagraph"/>
        <w:ind w:left="360"/>
        <w:rPr>
          <w:rFonts w:ascii="Arial" w:hAnsi="Arial" w:cs="Arial"/>
          <w:sz w:val="20"/>
          <w:szCs w:val="20"/>
        </w:rPr>
      </w:pPr>
      <w:r>
        <w:rPr>
          <w:rFonts w:ascii="Arial" w:hAnsi="Arial" w:cs="Arial"/>
          <w:sz w:val="20"/>
          <w:szCs w:val="20"/>
        </w:rPr>
        <w:t xml:space="preserve">An updated site report has been uploaded </w:t>
      </w:r>
      <w:r>
        <w:rPr>
          <w:rFonts w:ascii="Arial" w:hAnsi="Arial" w:cs="Arial"/>
          <w:sz w:val="20"/>
          <w:szCs w:val="20"/>
        </w:rPr>
        <w:t xml:space="preserve">to </w:t>
      </w:r>
      <w:hyperlink r:id="rId7" w:history="1">
        <w:r w:rsidRPr="00CB3E5C">
          <w:rPr>
            <w:rStyle w:val="Hyperlink"/>
            <w:rFonts w:ascii="Arial" w:hAnsi="Arial" w:cs="Arial"/>
            <w:sz w:val="20"/>
            <w:szCs w:val="20"/>
          </w:rPr>
          <w:t>Exhibit A</w:t>
        </w:r>
      </w:hyperlink>
      <w:r>
        <w:rPr>
          <w:rFonts w:ascii="Arial" w:hAnsi="Arial" w:cs="Arial"/>
          <w:sz w:val="20"/>
          <w:szCs w:val="20"/>
        </w:rPr>
        <w:t xml:space="preserve"> </w:t>
      </w:r>
      <w:r>
        <w:rPr>
          <w:rFonts w:ascii="Arial" w:hAnsi="Arial" w:cs="Arial"/>
          <w:sz w:val="20"/>
          <w:szCs w:val="20"/>
        </w:rPr>
        <w:t>which now identifies the tie-in point</w:t>
      </w:r>
    </w:p>
    <w:p w14:paraId="19B284FD" w14:textId="77777777" w:rsidR="00CB3E5C" w:rsidRPr="008904A3" w:rsidRDefault="00CB3E5C" w:rsidP="00CB3E5C">
      <w:pPr>
        <w:pStyle w:val="ListParagraph"/>
        <w:ind w:left="360"/>
        <w:rPr>
          <w:b/>
          <w:bCs/>
        </w:rPr>
      </w:pPr>
    </w:p>
    <w:p w14:paraId="043A138D" w14:textId="70A4AB75" w:rsidR="008904A3" w:rsidRDefault="008904A3" w:rsidP="008904A3">
      <w:pPr>
        <w:pStyle w:val="ListParagraph"/>
        <w:numPr>
          <w:ilvl w:val="0"/>
          <w:numId w:val="1"/>
        </w:numPr>
        <w:ind w:left="360"/>
        <w:rPr>
          <w:b/>
          <w:bCs/>
        </w:rPr>
      </w:pPr>
      <w:r w:rsidRPr="008904A3">
        <w:rPr>
          <w:b/>
          <w:bCs/>
        </w:rPr>
        <w:t>Site 123R, Mansfield Town Garage - Is the contractor responsible for running conduit underground to tie the 3 arrays together?</w:t>
      </w:r>
    </w:p>
    <w:p w14:paraId="7852A7A1" w14:textId="5F716DD3" w:rsidR="00CB3E5C" w:rsidRDefault="00CB3E5C" w:rsidP="00CB3E5C">
      <w:pPr>
        <w:pStyle w:val="ListParagraph"/>
        <w:ind w:left="360"/>
        <w:rPr>
          <w:rFonts w:ascii="Arial" w:hAnsi="Arial" w:cs="Arial"/>
          <w:sz w:val="20"/>
          <w:szCs w:val="20"/>
        </w:rPr>
      </w:pPr>
      <w:r>
        <w:rPr>
          <w:rFonts w:ascii="Arial" w:hAnsi="Arial" w:cs="Arial"/>
          <w:sz w:val="20"/>
          <w:szCs w:val="20"/>
        </w:rPr>
        <w:t xml:space="preserve">The awarded Proposer(s) shall be responsible for any work deemed necessary, included trenching and repair of asphalt, to properly interconnect the solar </w:t>
      </w:r>
      <w:r>
        <w:rPr>
          <w:rFonts w:ascii="Arial" w:hAnsi="Arial" w:cs="Arial"/>
          <w:sz w:val="20"/>
          <w:szCs w:val="20"/>
        </w:rPr>
        <w:t>project</w:t>
      </w:r>
      <w:r>
        <w:rPr>
          <w:rFonts w:ascii="Arial" w:hAnsi="Arial" w:cs="Arial"/>
          <w:sz w:val="20"/>
          <w:szCs w:val="20"/>
        </w:rPr>
        <w:t xml:space="preserve"> and new ZREC meter.</w:t>
      </w:r>
    </w:p>
    <w:p w14:paraId="2AA31CAF" w14:textId="77777777" w:rsidR="00CB3E5C" w:rsidRPr="008904A3" w:rsidRDefault="00CB3E5C" w:rsidP="00CB3E5C">
      <w:pPr>
        <w:pStyle w:val="ListParagraph"/>
        <w:ind w:left="360"/>
        <w:rPr>
          <w:b/>
          <w:bCs/>
        </w:rPr>
      </w:pPr>
    </w:p>
    <w:p w14:paraId="430CB568" w14:textId="4E90287C" w:rsidR="008904A3" w:rsidRDefault="008904A3" w:rsidP="008904A3">
      <w:pPr>
        <w:pStyle w:val="ListParagraph"/>
        <w:numPr>
          <w:ilvl w:val="0"/>
          <w:numId w:val="1"/>
        </w:numPr>
        <w:ind w:left="360"/>
        <w:rPr>
          <w:b/>
          <w:bCs/>
        </w:rPr>
      </w:pPr>
      <w:r w:rsidRPr="008904A3">
        <w:rPr>
          <w:b/>
          <w:bCs/>
        </w:rPr>
        <w:t>Is there structural information available for any of the buildings that could aid in structural analysis?</w:t>
      </w:r>
    </w:p>
    <w:p w14:paraId="0B6DFEC2" w14:textId="568A779C" w:rsidR="00CB3E5C" w:rsidRDefault="00CB3E5C" w:rsidP="00CB3E5C">
      <w:pPr>
        <w:pStyle w:val="ListParagraph"/>
        <w:ind w:left="360"/>
        <w:rPr>
          <w:rFonts w:ascii="Arial" w:hAnsi="Arial" w:cs="Arial"/>
          <w:sz w:val="20"/>
          <w:szCs w:val="20"/>
        </w:rPr>
      </w:pPr>
      <w:r>
        <w:rPr>
          <w:rFonts w:ascii="Arial" w:hAnsi="Arial" w:cs="Arial"/>
          <w:sz w:val="20"/>
          <w:szCs w:val="20"/>
        </w:rPr>
        <w:t>The awarded Proposer(s) will be given access to any and all existing drawings. Due to the age of some facilities the awarded Proposer(s) shall anticipate that on-site structural assessments may be necessary to gather information not available in drawings.</w:t>
      </w:r>
    </w:p>
    <w:p w14:paraId="191B7D02" w14:textId="77777777" w:rsidR="00CB3E5C" w:rsidRPr="008904A3" w:rsidRDefault="00CB3E5C" w:rsidP="00CB3E5C">
      <w:pPr>
        <w:pStyle w:val="ListParagraph"/>
        <w:ind w:left="360"/>
        <w:rPr>
          <w:b/>
          <w:bCs/>
        </w:rPr>
      </w:pPr>
    </w:p>
    <w:p w14:paraId="59981E90" w14:textId="4E976754" w:rsidR="008904A3" w:rsidRDefault="008904A3" w:rsidP="008904A3">
      <w:pPr>
        <w:pStyle w:val="ListParagraph"/>
        <w:numPr>
          <w:ilvl w:val="0"/>
          <w:numId w:val="1"/>
        </w:numPr>
        <w:ind w:left="360"/>
        <w:rPr>
          <w:b/>
          <w:bCs/>
        </w:rPr>
      </w:pPr>
      <w:r w:rsidRPr="008904A3">
        <w:rPr>
          <w:b/>
          <w:bCs/>
        </w:rPr>
        <w:t>Please expand on the requirements for the structural analysis.</w:t>
      </w:r>
    </w:p>
    <w:p w14:paraId="2163E4CC" w14:textId="631B5C13" w:rsidR="00CB3E5C" w:rsidRDefault="00CB3E5C" w:rsidP="00CB3E5C">
      <w:pPr>
        <w:pStyle w:val="ListParagraph"/>
        <w:ind w:left="360"/>
        <w:rPr>
          <w:rFonts w:ascii="Arial" w:hAnsi="Arial" w:cs="Arial"/>
          <w:sz w:val="20"/>
          <w:szCs w:val="20"/>
        </w:rPr>
      </w:pPr>
      <w:r>
        <w:rPr>
          <w:rFonts w:ascii="Arial" w:hAnsi="Arial" w:cs="Arial"/>
          <w:sz w:val="20"/>
          <w:szCs w:val="20"/>
        </w:rPr>
        <w:t>A structural analysis shall be performed by a qualified professional engineer registered in the State of CT. This analysis shall quantify the available structural capacity of roof sections where solar is to be installed. This professional engineer shall issue a letter and calculation confirming that the solar racking design is within the limits of the available structural capacity of the facility.</w:t>
      </w:r>
    </w:p>
    <w:p w14:paraId="2BA825B6" w14:textId="77777777" w:rsidR="00CB3E5C" w:rsidRPr="008904A3" w:rsidRDefault="00CB3E5C" w:rsidP="00CB3E5C">
      <w:pPr>
        <w:pStyle w:val="ListParagraph"/>
        <w:ind w:left="360"/>
        <w:rPr>
          <w:b/>
          <w:bCs/>
        </w:rPr>
      </w:pPr>
    </w:p>
    <w:p w14:paraId="3BD9549A" w14:textId="6CBB84AA" w:rsidR="008904A3" w:rsidRDefault="008904A3" w:rsidP="008904A3">
      <w:pPr>
        <w:pStyle w:val="ListParagraph"/>
        <w:numPr>
          <w:ilvl w:val="0"/>
          <w:numId w:val="1"/>
        </w:numPr>
        <w:ind w:left="360"/>
        <w:rPr>
          <w:b/>
          <w:bCs/>
        </w:rPr>
      </w:pPr>
      <w:r w:rsidRPr="008904A3">
        <w:rPr>
          <w:b/>
          <w:bCs/>
        </w:rPr>
        <w:t>Please confirm that a standard Helioscope layout is sufficient to meet the requirements in Section V.C: System Design and Equipment on page 7 of the RFP.</w:t>
      </w:r>
    </w:p>
    <w:p w14:paraId="70DD6DE2" w14:textId="7ED6B966" w:rsidR="00CB3E5C" w:rsidRDefault="00CB3E5C" w:rsidP="00CB3E5C">
      <w:pPr>
        <w:pStyle w:val="ListParagraph"/>
        <w:ind w:left="360"/>
        <w:rPr>
          <w:rFonts w:ascii="Arial" w:hAnsi="Arial" w:cs="Arial"/>
          <w:sz w:val="20"/>
          <w:szCs w:val="20"/>
        </w:rPr>
      </w:pPr>
      <w:r>
        <w:rPr>
          <w:rFonts w:ascii="Arial" w:hAnsi="Arial" w:cs="Arial"/>
          <w:sz w:val="20"/>
          <w:szCs w:val="20"/>
        </w:rPr>
        <w:t>Yes, a standard helioscope layout is sufficient</w:t>
      </w:r>
    </w:p>
    <w:p w14:paraId="0E936CE1" w14:textId="77777777" w:rsidR="00CB3E5C" w:rsidRPr="008904A3" w:rsidRDefault="00CB3E5C" w:rsidP="00CB3E5C">
      <w:pPr>
        <w:pStyle w:val="ListParagraph"/>
        <w:ind w:left="360"/>
        <w:rPr>
          <w:b/>
          <w:bCs/>
        </w:rPr>
      </w:pPr>
    </w:p>
    <w:p w14:paraId="1B8F6D11" w14:textId="48C499BA" w:rsidR="008904A3" w:rsidRDefault="008904A3" w:rsidP="008904A3">
      <w:pPr>
        <w:pStyle w:val="ListParagraph"/>
        <w:numPr>
          <w:ilvl w:val="0"/>
          <w:numId w:val="1"/>
        </w:numPr>
        <w:ind w:left="360"/>
        <w:rPr>
          <w:b/>
          <w:bCs/>
        </w:rPr>
      </w:pPr>
      <w:r w:rsidRPr="008904A3">
        <w:rPr>
          <w:b/>
          <w:bCs/>
        </w:rPr>
        <w:t>For system sizing, is the "</w:t>
      </w:r>
      <w:proofErr w:type="spellStart"/>
      <w:r w:rsidRPr="008904A3">
        <w:rPr>
          <w:b/>
          <w:bCs/>
        </w:rPr>
        <w:t>kWAC</w:t>
      </w:r>
      <w:proofErr w:type="spellEnd"/>
      <w:r w:rsidRPr="008904A3">
        <w:rPr>
          <w:b/>
          <w:bCs/>
        </w:rPr>
        <w:t xml:space="preserve"> secured" the limit nameplate for interconnection?</w:t>
      </w:r>
    </w:p>
    <w:p w14:paraId="394A51EF" w14:textId="29109E31" w:rsidR="00CB3E5C" w:rsidRDefault="00CB3E5C" w:rsidP="00CB3E5C">
      <w:pPr>
        <w:pStyle w:val="ListParagraph"/>
        <w:ind w:left="360"/>
        <w:rPr>
          <w:rFonts w:ascii="Arial" w:hAnsi="Arial" w:cs="Arial"/>
          <w:sz w:val="20"/>
          <w:szCs w:val="20"/>
        </w:rPr>
      </w:pPr>
      <w:r>
        <w:rPr>
          <w:rFonts w:ascii="Arial" w:hAnsi="Arial" w:cs="Arial"/>
          <w:sz w:val="20"/>
          <w:szCs w:val="20"/>
        </w:rPr>
        <w:t xml:space="preserve">Proposals should not exceed the LREC/ZREC System Size that is referenced in the updated Table 1 Site Information in </w:t>
      </w:r>
      <w:hyperlink r:id="rId8" w:history="1">
        <w:r w:rsidRPr="00393C85">
          <w:rPr>
            <w:rStyle w:val="Hyperlink"/>
            <w:rFonts w:ascii="Arial" w:hAnsi="Arial" w:cs="Arial"/>
            <w:sz w:val="20"/>
            <w:szCs w:val="20"/>
          </w:rPr>
          <w:t>RFP Amendment 1</w:t>
        </w:r>
      </w:hyperlink>
      <w:r>
        <w:rPr>
          <w:rFonts w:ascii="Arial" w:hAnsi="Arial" w:cs="Arial"/>
          <w:sz w:val="20"/>
          <w:szCs w:val="20"/>
        </w:rPr>
        <w:t>.</w:t>
      </w:r>
    </w:p>
    <w:p w14:paraId="58E2BE5C" w14:textId="77777777" w:rsidR="00CB3E5C" w:rsidRPr="008904A3" w:rsidRDefault="00CB3E5C" w:rsidP="00CB3E5C">
      <w:pPr>
        <w:pStyle w:val="ListParagraph"/>
        <w:ind w:left="360"/>
        <w:rPr>
          <w:b/>
          <w:bCs/>
        </w:rPr>
      </w:pPr>
    </w:p>
    <w:p w14:paraId="40CAC078" w14:textId="0DADBAF3" w:rsidR="008904A3" w:rsidRDefault="008904A3" w:rsidP="008904A3">
      <w:pPr>
        <w:pStyle w:val="ListParagraph"/>
        <w:numPr>
          <w:ilvl w:val="0"/>
          <w:numId w:val="1"/>
        </w:numPr>
        <w:ind w:left="360"/>
        <w:rPr>
          <w:b/>
          <w:bCs/>
        </w:rPr>
      </w:pPr>
      <w:r w:rsidRPr="008904A3">
        <w:rPr>
          <w:b/>
          <w:bCs/>
        </w:rPr>
        <w:t>Is there system size (</w:t>
      </w:r>
      <w:proofErr w:type="spellStart"/>
      <w:r w:rsidRPr="008904A3">
        <w:rPr>
          <w:b/>
          <w:bCs/>
        </w:rPr>
        <w:t>kWac</w:t>
      </w:r>
      <w:proofErr w:type="spellEnd"/>
      <w:r w:rsidRPr="008904A3">
        <w:rPr>
          <w:b/>
          <w:bCs/>
        </w:rPr>
        <w:t>) flexibility for any of the small ZREC projects?</w:t>
      </w:r>
    </w:p>
    <w:p w14:paraId="5CE9A27D" w14:textId="0DC270FA" w:rsidR="00CB3E5C" w:rsidRPr="008904A3" w:rsidRDefault="00CB3E5C" w:rsidP="00CB3E5C">
      <w:pPr>
        <w:pStyle w:val="ListParagraph"/>
        <w:ind w:left="360"/>
        <w:rPr>
          <w:b/>
          <w:bCs/>
        </w:rPr>
      </w:pPr>
      <w:r>
        <w:rPr>
          <w:rFonts w:ascii="Arial" w:hAnsi="Arial" w:cs="Arial"/>
          <w:color w:val="000000"/>
          <w:sz w:val="20"/>
          <w:szCs w:val="20"/>
        </w:rPr>
        <w:t xml:space="preserve">The updated table </w:t>
      </w:r>
      <w:r w:rsidR="005F2A6E">
        <w:rPr>
          <w:rFonts w:ascii="Arial" w:hAnsi="Arial" w:cs="Arial"/>
          <w:color w:val="000000"/>
          <w:sz w:val="20"/>
          <w:szCs w:val="20"/>
        </w:rPr>
        <w:t xml:space="preserve">in </w:t>
      </w:r>
      <w:hyperlink r:id="rId9" w:history="1">
        <w:r w:rsidR="005F2A6E" w:rsidRPr="00393C85">
          <w:rPr>
            <w:rStyle w:val="Hyperlink"/>
            <w:rFonts w:ascii="Arial" w:hAnsi="Arial" w:cs="Arial"/>
            <w:sz w:val="20"/>
            <w:szCs w:val="20"/>
          </w:rPr>
          <w:t>RFP Amendment 1</w:t>
        </w:r>
      </w:hyperlink>
      <w:r w:rsidR="005F2A6E">
        <w:rPr>
          <w:rFonts w:ascii="Arial" w:hAnsi="Arial" w:cs="Arial"/>
          <w:color w:val="000000"/>
          <w:sz w:val="20"/>
          <w:szCs w:val="20"/>
        </w:rPr>
        <w:t xml:space="preserve"> </w:t>
      </w:r>
      <w:r>
        <w:rPr>
          <w:rFonts w:ascii="Arial" w:hAnsi="Arial" w:cs="Arial"/>
          <w:color w:val="000000"/>
          <w:sz w:val="20"/>
          <w:szCs w:val="20"/>
        </w:rPr>
        <w:t>now has hig</w:t>
      </w:r>
      <w:bookmarkStart w:id="0" w:name="_GoBack"/>
      <w:bookmarkEnd w:id="0"/>
      <w:r>
        <w:rPr>
          <w:rFonts w:ascii="Arial" w:hAnsi="Arial" w:cs="Arial"/>
          <w:color w:val="000000"/>
          <w:sz w:val="20"/>
          <w:szCs w:val="20"/>
        </w:rPr>
        <w:t>hlighted sections which reflect system size revisions made to four small ZREC projects.</w:t>
      </w:r>
    </w:p>
    <w:sectPr w:rsidR="00CB3E5C" w:rsidRPr="008904A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154682" w14:textId="77777777" w:rsidR="00E90806" w:rsidRDefault="00E90806" w:rsidP="00E90806">
      <w:pPr>
        <w:spacing w:after="0" w:line="240" w:lineRule="auto"/>
      </w:pPr>
      <w:r>
        <w:separator/>
      </w:r>
    </w:p>
  </w:endnote>
  <w:endnote w:type="continuationSeparator" w:id="0">
    <w:p w14:paraId="36A621B6" w14:textId="77777777" w:rsidR="00E90806" w:rsidRDefault="00E90806" w:rsidP="00E908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518CDE" w14:textId="77777777" w:rsidR="00E90806" w:rsidRDefault="00E90806" w:rsidP="00E90806">
      <w:pPr>
        <w:spacing w:after="0" w:line="240" w:lineRule="auto"/>
      </w:pPr>
      <w:r>
        <w:separator/>
      </w:r>
    </w:p>
  </w:footnote>
  <w:footnote w:type="continuationSeparator" w:id="0">
    <w:p w14:paraId="3CEDDD2B" w14:textId="77777777" w:rsidR="00E90806" w:rsidRDefault="00E90806" w:rsidP="00E9080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1955C2"/>
    <w:multiLevelType w:val="hybridMultilevel"/>
    <w:tmpl w:val="56848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0806"/>
    <w:rsid w:val="0002635F"/>
    <w:rsid w:val="00393C85"/>
    <w:rsid w:val="0052668C"/>
    <w:rsid w:val="005F2A6E"/>
    <w:rsid w:val="00747364"/>
    <w:rsid w:val="007825A1"/>
    <w:rsid w:val="007F0D22"/>
    <w:rsid w:val="008904A3"/>
    <w:rsid w:val="00CB3E5C"/>
    <w:rsid w:val="00D708CC"/>
    <w:rsid w:val="00DD2841"/>
    <w:rsid w:val="00E90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6D918"/>
  <w15:chartTrackingRefBased/>
  <w15:docId w15:val="{20FC322E-04CC-4213-9FB4-22B80E46E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08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0806"/>
  </w:style>
  <w:style w:type="paragraph" w:styleId="Footer">
    <w:name w:val="footer"/>
    <w:basedOn w:val="Normal"/>
    <w:link w:val="FooterChar"/>
    <w:uiPriority w:val="99"/>
    <w:unhideWhenUsed/>
    <w:rsid w:val="00E908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90806"/>
  </w:style>
  <w:style w:type="paragraph" w:styleId="ListParagraph">
    <w:name w:val="List Paragraph"/>
    <w:basedOn w:val="Normal"/>
    <w:uiPriority w:val="34"/>
    <w:qFormat/>
    <w:rsid w:val="008904A3"/>
    <w:pPr>
      <w:ind w:left="720"/>
      <w:contextualSpacing/>
    </w:pPr>
  </w:style>
  <w:style w:type="character" w:styleId="Hyperlink">
    <w:name w:val="Hyperlink"/>
    <w:basedOn w:val="DefaultParagraphFont"/>
    <w:uiPriority w:val="99"/>
    <w:unhideWhenUsed/>
    <w:rsid w:val="00CB3E5C"/>
    <w:rPr>
      <w:color w:val="0563C1" w:themeColor="hyperlink"/>
      <w:u w:val="single"/>
    </w:rPr>
  </w:style>
  <w:style w:type="character" w:styleId="UnresolvedMention">
    <w:name w:val="Unresolved Mention"/>
    <w:basedOn w:val="DefaultParagraphFont"/>
    <w:uiPriority w:val="99"/>
    <w:semiHidden/>
    <w:unhideWhenUsed/>
    <w:rsid w:val="00CB3E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747720">
      <w:bodyDiv w:val="1"/>
      <w:marLeft w:val="0"/>
      <w:marRight w:val="0"/>
      <w:marTop w:val="0"/>
      <w:marBottom w:val="0"/>
      <w:divBdr>
        <w:top w:val="none" w:sz="0" w:space="0" w:color="auto"/>
        <w:left w:val="none" w:sz="0" w:space="0" w:color="auto"/>
        <w:bottom w:val="none" w:sz="0" w:space="0" w:color="auto"/>
        <w:right w:val="none" w:sz="0" w:space="0" w:color="auto"/>
      </w:divBdr>
    </w:div>
    <w:div w:id="569967825">
      <w:bodyDiv w:val="1"/>
      <w:marLeft w:val="0"/>
      <w:marRight w:val="0"/>
      <w:marTop w:val="0"/>
      <w:marBottom w:val="0"/>
      <w:divBdr>
        <w:top w:val="none" w:sz="0" w:space="0" w:color="auto"/>
        <w:left w:val="none" w:sz="0" w:space="0" w:color="auto"/>
        <w:bottom w:val="none" w:sz="0" w:space="0" w:color="auto"/>
        <w:right w:val="none" w:sz="0" w:space="0" w:color="auto"/>
      </w:divBdr>
    </w:div>
    <w:div w:id="1072853041">
      <w:bodyDiv w:val="1"/>
      <w:marLeft w:val="0"/>
      <w:marRight w:val="0"/>
      <w:marTop w:val="0"/>
      <w:marBottom w:val="0"/>
      <w:divBdr>
        <w:top w:val="none" w:sz="0" w:space="0" w:color="auto"/>
        <w:left w:val="none" w:sz="0" w:space="0" w:color="auto"/>
        <w:bottom w:val="none" w:sz="0" w:space="0" w:color="auto"/>
        <w:right w:val="none" w:sz="0" w:space="0" w:color="auto"/>
      </w:divBdr>
    </w:div>
    <w:div w:id="1801999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tgreenbank.com/wp-content/uploads/2020/10/RFP-Amendment-1.docx" TargetMode="External"/><Relationship Id="rId3" Type="http://schemas.openxmlformats.org/officeDocument/2006/relationships/settings" Target="settings.xml"/><Relationship Id="rId7" Type="http://schemas.openxmlformats.org/officeDocument/2006/relationships/hyperlink" Target="https://ctgreenbank-my.sharepoint.com/:f:/p/data_warehouse/EtEcCnVDOTdIhAFQzY5cQHwBQXCxnNb2OoRKlOMyLcO69g?e=nrIz1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ctgreenbank.com/wp-content/uploads/2020/10/RFP-Amendment-1.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TotalTime>
  <Pages>2</Pages>
  <Words>674</Words>
  <Characters>3842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Basham</dc:creator>
  <cp:keywords/>
  <dc:description/>
  <cp:lastModifiedBy>Emily Basham</cp:lastModifiedBy>
  <cp:revision>4</cp:revision>
  <dcterms:created xsi:type="dcterms:W3CDTF">2020-10-28T16:04:00Z</dcterms:created>
  <dcterms:modified xsi:type="dcterms:W3CDTF">2020-10-28T18:15:00Z</dcterms:modified>
</cp:coreProperties>
</file>